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F0" w:rsidRDefault="00706BF0" w:rsidP="00065AAE">
      <w:pPr>
        <w:rPr>
          <w:rFonts w:ascii="Calibri" w:eastAsia="Calibri" w:hAnsi="Calibri" w:cs="Times New Roman"/>
          <w:b/>
          <w:color w:val="000000"/>
          <w:sz w:val="44"/>
          <w:lang w:val="es-PE" w:eastAsia="en-US"/>
        </w:rPr>
      </w:pPr>
      <w:bookmarkStart w:id="0" w:name="_GoBack"/>
      <w:bookmarkEnd w:id="0"/>
    </w:p>
    <w:p w:rsidR="00065AAE" w:rsidRPr="00210080" w:rsidRDefault="00706BF0" w:rsidP="00065AAE">
      <w:pPr>
        <w:rPr>
          <w:rFonts w:ascii="Calibri" w:eastAsia="Calibri" w:hAnsi="Calibri" w:cs="Times New Roman"/>
          <w:i/>
          <w:color w:val="000000"/>
          <w:sz w:val="22"/>
          <w:szCs w:val="22"/>
          <w:lang w:val="es-PE" w:eastAsia="en-US"/>
        </w:rPr>
      </w:pPr>
      <w:r w:rsidRPr="00706BF0">
        <w:rPr>
          <w:rFonts w:ascii="Calibri" w:eastAsia="Calibri" w:hAnsi="Calibri" w:cs="Times New Roman"/>
          <w:b/>
          <w:color w:val="000000"/>
          <w:sz w:val="44"/>
          <w:lang w:val="es-PE" w:eastAsia="en-US"/>
        </w:rPr>
        <w:t>Perú suspende importación de carnes de Colombia por brote de Fiebre Aftosa</w:t>
      </w:r>
    </w:p>
    <w:p w:rsidR="00065AAE" w:rsidRDefault="00706BF0" w:rsidP="00065AAE">
      <w:pPr>
        <w:rPr>
          <w:rFonts w:ascii="Calibri" w:eastAsia="Calibri" w:hAnsi="Calibri" w:cs="Times New Roman"/>
          <w:i/>
          <w:color w:val="000000"/>
          <w:sz w:val="22"/>
          <w:szCs w:val="22"/>
          <w:lang w:val="es-PE" w:eastAsia="en-US"/>
        </w:rPr>
      </w:pPr>
      <w:r w:rsidRPr="00706BF0">
        <w:rPr>
          <w:rFonts w:ascii="Calibri" w:eastAsia="Calibri" w:hAnsi="Calibri" w:cs="Times New Roman"/>
          <w:i/>
          <w:color w:val="000000"/>
          <w:sz w:val="22"/>
          <w:szCs w:val="22"/>
          <w:lang w:val="es-PE" w:eastAsia="en-US"/>
        </w:rPr>
        <w:t>* Perú es libre de esta enfermedad altamente contagiosa desde 2013</w:t>
      </w:r>
    </w:p>
    <w:p w:rsidR="00706BF0" w:rsidRDefault="00706BF0" w:rsidP="00065AAE">
      <w:pPr>
        <w:rPr>
          <w:rFonts w:ascii="Calibri" w:eastAsia="Calibri" w:hAnsi="Calibri" w:cs="Times New Roman"/>
          <w:color w:val="000000"/>
          <w:sz w:val="22"/>
          <w:szCs w:val="22"/>
          <w:lang w:val="es-PE" w:eastAsia="en-US"/>
        </w:rPr>
      </w:pPr>
    </w:p>
    <w:p w:rsidR="00706BF0" w:rsidRDefault="00706BF0" w:rsidP="00706BF0"/>
    <w:p w:rsidR="00706BF0" w:rsidRDefault="00706BF0" w:rsidP="00706BF0">
      <w:r>
        <w:t xml:space="preserve">El Ministerio de Agricultura y Riego – MINAGRI, </w:t>
      </w:r>
      <w:r w:rsidR="00360298">
        <w:t>a través d</w:t>
      </w:r>
      <w:r>
        <w:t xml:space="preserve">el Servicio Nacional de Sanidad Agraria - SENASA, </w:t>
      </w:r>
      <w:r w:rsidR="00AB3FA6">
        <w:t xml:space="preserve">suspende </w:t>
      </w:r>
      <w:r>
        <w:t xml:space="preserve">las importaciones de bovinos, porcinos y sus productos procedentes de Colombia, debido a la reaparición de la Fiebre Aftosa en dicho país. </w:t>
      </w:r>
    </w:p>
    <w:p w:rsidR="00706BF0" w:rsidRDefault="00706BF0" w:rsidP="00706BF0"/>
    <w:p w:rsidR="00706BF0" w:rsidRDefault="00AB3FA6" w:rsidP="00706BF0">
      <w:r>
        <w:t>Según la Resolución Directoral 0016-2017 publicada hoy en el Diario Oficial, e</w:t>
      </w:r>
      <w:r w:rsidR="00706BF0">
        <w:t xml:space="preserve">l congelamiento de </w:t>
      </w:r>
      <w:r>
        <w:t xml:space="preserve">las </w:t>
      </w:r>
      <w:r w:rsidR="00706BF0">
        <w:t>importaciones será por un lapso de 180 días calendarios y podrá ser ampliado o reducido de acuerdo a la información y acciones de control que se realice</w:t>
      </w:r>
      <w:r>
        <w:t>n</w:t>
      </w:r>
      <w:r w:rsidR="00706BF0">
        <w:t xml:space="preserve"> en territorio colombiano.</w:t>
      </w:r>
    </w:p>
    <w:p w:rsidR="00AB3FA6" w:rsidRDefault="00AB3FA6" w:rsidP="00706BF0"/>
    <w:p w:rsidR="00AB3FA6" w:rsidRDefault="00AB3FA6" w:rsidP="00706BF0">
      <w:r>
        <w:t xml:space="preserve">Las especies y productos de origen animal procedentes de Colombia que han sido suspendidos son </w:t>
      </w:r>
      <w:r w:rsidR="000C2CB5">
        <w:t xml:space="preserve">los </w:t>
      </w:r>
      <w:r>
        <w:t xml:space="preserve">rumiantes y </w:t>
      </w:r>
      <w:r w:rsidR="000C2CB5">
        <w:t xml:space="preserve">el </w:t>
      </w:r>
      <w:r>
        <w:t xml:space="preserve">ganado porcino vivo, su semen o embriones, carne fresca refrigerada o congelada, </w:t>
      </w:r>
      <w:r w:rsidR="003A11DC">
        <w:t xml:space="preserve">leche y productos lácteos, </w:t>
      </w:r>
      <w:r>
        <w:t xml:space="preserve">vísceras y </w:t>
      </w:r>
      <w:r w:rsidR="003A11DC">
        <w:t>menudencias crudas, cueros y pieles sin curtir, lanas sin lavar; forrajes y henos.</w:t>
      </w:r>
    </w:p>
    <w:p w:rsidR="00706BF0" w:rsidRDefault="00706BF0" w:rsidP="00706BF0"/>
    <w:p w:rsidR="00706BF0" w:rsidRDefault="00706BF0" w:rsidP="00706BF0">
      <w:r>
        <w:t xml:space="preserve">La medida obedece a la notificación realizada el viernes último por el Instituto Colombiano Agropecuario – ICA sobre la reaparición de la Fiebre Aftosa en su territorio. Apenas conocida esta situación el SENASA activó de inmediato medidas sanitarias de prevención para evitar que ésta peligrosa enfermedad ingrese a territorio peruano. </w:t>
      </w:r>
    </w:p>
    <w:p w:rsidR="00706BF0" w:rsidRDefault="00706BF0" w:rsidP="00706BF0"/>
    <w:p w:rsidR="003A11DC" w:rsidRDefault="003A11DC" w:rsidP="003A11DC">
      <w:r>
        <w:t>De ingresar el virus al Perú podría traer serias consecuencias para la ganadería y economía del país, ya que es una enfermedad sumamente agresiva, de rápida propagación y sobre todo muy restrictiva para el comercio internacional.</w:t>
      </w:r>
    </w:p>
    <w:p w:rsidR="003A11DC" w:rsidRDefault="003A11DC" w:rsidP="003A11DC"/>
    <w:p w:rsidR="00706BF0" w:rsidRDefault="00706BF0" w:rsidP="00706BF0">
      <w:r>
        <w:t>El Perú fue declarado libre de la enfermedad por la Organización Mundial de Sanidad Animal -OIE el año 2013 después de varios años de trabajo técnico a cargo del SENASA.</w:t>
      </w:r>
    </w:p>
    <w:p w:rsidR="00706BF0" w:rsidRDefault="00706BF0" w:rsidP="00706BF0"/>
    <w:p w:rsidR="00706BF0" w:rsidRDefault="00706BF0" w:rsidP="00706BF0">
      <w:r>
        <w:t>Desde hace 13 años que no se registra un solo caso de la enfermedad en el Perú, desde mayo del 2013 solo se vacunaba en zona de frontera norte por seguridad, acción que no se realiza desde inicios del 2017.</w:t>
      </w:r>
    </w:p>
    <w:p w:rsidR="00706BF0" w:rsidRDefault="00706BF0" w:rsidP="00706BF0"/>
    <w:p w:rsidR="00706BF0" w:rsidRDefault="00706BF0" w:rsidP="00706BF0">
      <w:r>
        <w:t xml:space="preserve">La fiebre aftosa, es una enfermedad viral altamente contagiosa. El virus ataca principalmente a vacunos, ovinos, caprinos, porcinos, y podría también afectar a todos los rumiantes salvajes. En bovinos y porcinos generalmente la enfermedad es más severa. </w:t>
      </w:r>
    </w:p>
    <w:p w:rsidR="00706BF0" w:rsidRDefault="00706BF0" w:rsidP="00706BF0"/>
    <w:p w:rsidR="00706BF0" w:rsidRDefault="00706BF0" w:rsidP="00706BF0">
      <w:r>
        <w:t xml:space="preserve">Los animales presentan vesículas (ampollas) en la cavidad oral, nariz, lengua, las patas y ubres, salivación severa; esto les produce cojera, falta de apetito, dejan de comer y producir. No es una </w:t>
      </w:r>
      <w:r>
        <w:lastRenderedPageBreak/>
        <w:t>enfermedad zoonótica, es decir no afecta a la salud de las personas pero si a la economía de los criadores.</w:t>
      </w:r>
    </w:p>
    <w:p w:rsidR="00706BF0" w:rsidRDefault="00706BF0" w:rsidP="00706BF0"/>
    <w:p w:rsidR="00706BF0" w:rsidRDefault="00706BF0" w:rsidP="00706BF0">
      <w:r>
        <w:t xml:space="preserve">El MINAGRI </w:t>
      </w:r>
      <w:r w:rsidR="003A11DC">
        <w:t xml:space="preserve">insta </w:t>
      </w:r>
      <w:r>
        <w:t>a todas las personas, peruanas y extranjeras, no traer animales y sus productos derivados. Solo pueden hacerlo con certificación otorgada por autoridades sanitarias nacionales. A los ganaderos a reportar inmediatamente cualquier sospecha o presencia de enfermedades en sus animales a la línea gratuita del SENASA 0800-10125 y a sus cuentas en redes sociales.</w:t>
      </w:r>
    </w:p>
    <w:p w:rsidR="00706BF0" w:rsidRDefault="00706BF0" w:rsidP="00706BF0"/>
    <w:p w:rsidR="00706BF0" w:rsidRPr="00706BF0" w:rsidRDefault="00706BF0" w:rsidP="00706BF0">
      <w:pPr>
        <w:rPr>
          <w:b/>
        </w:rPr>
      </w:pPr>
      <w:r w:rsidRPr="00706BF0">
        <w:rPr>
          <w:b/>
        </w:rPr>
        <w:t>Secretaría Técnica</w:t>
      </w:r>
    </w:p>
    <w:p w:rsidR="00706BF0" w:rsidRPr="00706BF0" w:rsidRDefault="00706BF0" w:rsidP="00706BF0">
      <w:pPr>
        <w:rPr>
          <w:b/>
        </w:rPr>
      </w:pPr>
      <w:r w:rsidRPr="00706BF0">
        <w:rPr>
          <w:b/>
        </w:rPr>
        <w:t>SENASA</w:t>
      </w:r>
    </w:p>
    <w:p w:rsidR="00706BF0" w:rsidRDefault="00706BF0" w:rsidP="00706BF0"/>
    <w:p w:rsidR="00706BF0" w:rsidRDefault="00706BF0" w:rsidP="00706BF0">
      <w:r>
        <w:t>Lima, 2</w:t>
      </w:r>
      <w:r w:rsidR="003A11DC">
        <w:t>7</w:t>
      </w:r>
      <w:r>
        <w:t xml:space="preserve"> de junio de 2017</w:t>
      </w:r>
    </w:p>
    <w:p w:rsidR="000F4B0B" w:rsidRDefault="000F4B0B" w:rsidP="00706BF0"/>
    <w:sectPr w:rsidR="000F4B0B" w:rsidSect="00706BF0">
      <w:headerReference w:type="default" r:id="rId8"/>
      <w:footerReference w:type="default" r:id="rId9"/>
      <w:pgSz w:w="11900" w:h="16840"/>
      <w:pgMar w:top="1950" w:right="560" w:bottom="1418" w:left="1418" w:header="96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B0" w:rsidRDefault="005878B0">
      <w:r>
        <w:separator/>
      </w:r>
    </w:p>
  </w:endnote>
  <w:endnote w:type="continuationSeparator" w:id="0">
    <w:p w:rsidR="005878B0" w:rsidRDefault="0058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E" w:rsidRDefault="00706BF0" w:rsidP="00B93FD8">
    <w:pPr>
      <w:pStyle w:val="Piedepgina"/>
      <w:tabs>
        <w:tab w:val="clear" w:pos="8504"/>
      </w:tabs>
      <w:ind w:left="6379" w:right="-858" w:hanging="6379"/>
    </w:pPr>
    <w:r>
      <w:rPr>
        <w:noProof/>
        <w:lang w:val="es-PE" w:eastAsia="es-PE"/>
      </w:rPr>
      <mc:AlternateContent>
        <mc:Choice Requires="wps">
          <w:drawing>
            <wp:anchor distT="0" distB="0" distL="114300" distR="114300" simplePos="0" relativeHeight="251660288" behindDoc="0" locked="0" layoutInCell="1" allowOverlap="1" wp14:anchorId="07DF5F63" wp14:editId="1F5AFF68">
              <wp:simplePos x="0" y="0"/>
              <wp:positionH relativeFrom="column">
                <wp:posOffset>-641985</wp:posOffset>
              </wp:positionH>
              <wp:positionV relativeFrom="paragraph">
                <wp:posOffset>65405</wp:posOffset>
              </wp:positionV>
              <wp:extent cx="3609340" cy="720725"/>
              <wp:effectExtent l="0" t="0" r="0" b="889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20725"/>
                      </a:xfrm>
                      <a:prstGeom prst="rect">
                        <a:avLst/>
                      </a:prstGeom>
                      <a:solidFill>
                        <a:srgbClr val="FFFFFF"/>
                      </a:solidFill>
                      <a:ln w="9525">
                        <a:noFill/>
                        <a:miter lim="800000"/>
                        <a:headEnd/>
                        <a:tailEnd/>
                      </a:ln>
                    </wps:spPr>
                    <wps:txbx>
                      <w:txbxContent>
                        <w:p w:rsidR="00744930" w:rsidRPr="0067726A" w:rsidRDefault="00F833CD" w:rsidP="00744930">
                          <w:pPr>
                            <w:rPr>
                              <w:rFonts w:ascii="Cambria" w:hAnsi="Cambria" w:cs="Cambria"/>
                              <w:color w:val="808080"/>
                              <w:sz w:val="20"/>
                            </w:rPr>
                          </w:pPr>
                          <w:r w:rsidRPr="0067726A">
                            <w:rPr>
                              <w:rFonts w:ascii="Cambria" w:hAnsi="Cambria" w:cs="Cambria"/>
                              <w:color w:val="808080"/>
                              <w:sz w:val="20"/>
                            </w:rPr>
                            <w:t>Av. La Molina N° 1915 – La Molina – Lima 12, Perú</w:t>
                          </w:r>
                        </w:p>
                        <w:p w:rsidR="00744930" w:rsidRPr="0067726A" w:rsidRDefault="00F833CD" w:rsidP="00744930">
                          <w:pPr>
                            <w:rPr>
                              <w:rFonts w:ascii="Cambria" w:hAnsi="Cambria" w:cs="Cambria"/>
                              <w:color w:val="808080"/>
                              <w:sz w:val="20"/>
                            </w:rPr>
                          </w:pPr>
                          <w:r w:rsidRPr="0067726A">
                            <w:rPr>
                              <w:rFonts w:ascii="Cambria" w:hAnsi="Cambria" w:cs="Cambria"/>
                              <w:color w:val="808080"/>
                              <w:sz w:val="20"/>
                            </w:rPr>
                            <w:t>Teléfono: (51) 1 313-3300 Anexo: 6021</w:t>
                          </w:r>
                          <w:r w:rsidR="00706BF0">
                            <w:rPr>
                              <w:rFonts w:ascii="Cambria" w:hAnsi="Cambria" w:cs="Cambria"/>
                              <w:color w:val="808080"/>
                              <w:sz w:val="20"/>
                            </w:rPr>
                            <w:t>/9832-80653</w:t>
                          </w:r>
                        </w:p>
                        <w:p w:rsidR="00744930" w:rsidRPr="0067726A" w:rsidRDefault="005878B0" w:rsidP="00744930">
                          <w:pPr>
                            <w:rPr>
                              <w:rFonts w:ascii="Cambria" w:hAnsi="Cambria" w:cs="Cambria"/>
                              <w:sz w:val="20"/>
                            </w:rPr>
                          </w:pPr>
                          <w:hyperlink r:id="rId1" w:history="1">
                            <w:r w:rsidR="00F833CD" w:rsidRPr="0067726A">
                              <w:rPr>
                                <w:rStyle w:val="Hipervnculo"/>
                                <w:rFonts w:ascii="Cambria" w:hAnsi="Cambria" w:cs="Cambria"/>
                                <w:sz w:val="20"/>
                              </w:rPr>
                              <w:t>macostav@senasa.gob.pe</w:t>
                            </w:r>
                          </w:hyperlink>
                        </w:p>
                        <w:p w:rsidR="00744930" w:rsidRPr="0067726A" w:rsidRDefault="00F833CD" w:rsidP="00744930">
                          <w:pPr>
                            <w:rPr>
                              <w:rFonts w:ascii="Cambria" w:hAnsi="Cambria" w:cs="Cambria"/>
                              <w:sz w:val="20"/>
                            </w:rPr>
                          </w:pPr>
                          <w:r w:rsidRPr="0067726A">
                            <w:rPr>
                              <w:rFonts w:ascii="Cambria" w:hAnsi="Cambria" w:cs="Cambria"/>
                              <w:color w:val="808080"/>
                              <w:sz w:val="20"/>
                            </w:rPr>
                            <w:t>www.senasa.gob.pe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7DF5F63" id="_x0000_t202" coordsize="21600,21600" o:spt="202" path="m,l,21600r21600,l21600,xe">
              <v:stroke joinstyle="miter"/>
              <v:path gradientshapeok="t" o:connecttype="rect"/>
            </v:shapetype>
            <v:shape id="Cuadro de texto 2" o:spid="_x0000_s1026" type="#_x0000_t202" style="position:absolute;left:0;text-align:left;margin-left:-50.55pt;margin-top:5.15pt;width:284.2pt;height:5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" stroked="f">
              <v:textbox style="mso-fit-shape-to-text:t">
                <w:txbxContent>
                  <w:p w:rsidR="00744930" w:rsidRPr="0067726A" w:rsidRDefault="00F833CD" w:rsidP="00744930">
                    <w:pPr>
                      <w:rPr>
                        <w:rFonts w:ascii="Cambria" w:hAnsi="Cambria" w:cs="Cambria"/>
                        <w:color w:val="808080"/>
                        <w:sz w:val="20"/>
                      </w:rPr>
                    </w:pPr>
                    <w:r w:rsidRPr="0067726A">
                      <w:rPr>
                        <w:rFonts w:ascii="Cambria" w:hAnsi="Cambria" w:cs="Cambria"/>
                        <w:color w:val="808080"/>
                        <w:sz w:val="20"/>
                      </w:rPr>
                      <w:t>Av. La Molina N° 1915 – La Molina – Lima 12, Perú</w:t>
                    </w:r>
                  </w:p>
                  <w:p w:rsidR="00744930" w:rsidRPr="0067726A" w:rsidRDefault="00F833CD" w:rsidP="00744930">
                    <w:pPr>
                      <w:rPr>
                        <w:rFonts w:ascii="Cambria" w:hAnsi="Cambria" w:cs="Cambria"/>
                        <w:color w:val="808080"/>
                        <w:sz w:val="20"/>
                      </w:rPr>
                    </w:pPr>
                    <w:r w:rsidRPr="0067726A">
                      <w:rPr>
                        <w:rFonts w:ascii="Cambria" w:hAnsi="Cambria" w:cs="Cambria"/>
                        <w:color w:val="808080"/>
                        <w:sz w:val="20"/>
                      </w:rPr>
                      <w:t>Teléfono: (51) 1 313-3300 Anexo: 6021</w:t>
                    </w:r>
                    <w:r w:rsidR="00706BF0">
                      <w:rPr>
                        <w:rFonts w:ascii="Cambria" w:hAnsi="Cambria" w:cs="Cambria"/>
                        <w:color w:val="808080"/>
                        <w:sz w:val="20"/>
                      </w:rPr>
                      <w:t>/9832-80653</w:t>
                    </w:r>
                  </w:p>
                  <w:p w:rsidR="00744930" w:rsidRPr="0067726A" w:rsidRDefault="00C926EC" w:rsidP="00744930">
                    <w:pPr>
                      <w:rPr>
                        <w:rFonts w:ascii="Cambria" w:hAnsi="Cambria" w:cs="Cambria"/>
                        <w:sz w:val="20"/>
                      </w:rPr>
                    </w:pPr>
                    <w:hyperlink r:id="rId2" w:history="1">
                      <w:r w:rsidR="00F833CD" w:rsidRPr="0067726A">
                        <w:rPr>
                          <w:rStyle w:val="Hipervnculo"/>
                          <w:rFonts w:ascii="Cambria" w:hAnsi="Cambria" w:cs="Cambria"/>
                          <w:sz w:val="20"/>
                        </w:rPr>
                        <w:t>macostav@senasa.gob.pe</w:t>
                      </w:r>
                    </w:hyperlink>
                  </w:p>
                  <w:p w:rsidR="00744930" w:rsidRPr="0067726A" w:rsidRDefault="00F833CD" w:rsidP="00744930">
                    <w:pPr>
                      <w:rPr>
                        <w:rFonts w:ascii="Cambria" w:hAnsi="Cambria" w:cs="Cambria"/>
                        <w:sz w:val="20"/>
                      </w:rPr>
                    </w:pPr>
                    <w:r w:rsidRPr="0067726A">
                      <w:rPr>
                        <w:rFonts w:ascii="Cambria" w:hAnsi="Cambria" w:cs="Cambria"/>
                        <w:color w:val="808080"/>
                        <w:sz w:val="20"/>
                      </w:rPr>
                      <w:t>www.senasa.gob.pe</w:t>
                    </w:r>
                  </w:p>
                </w:txbxContent>
              </v:textbox>
            </v:shape>
          </w:pict>
        </mc:Fallback>
      </mc:AlternateContent>
    </w:r>
    <w:r w:rsidR="00F833CD">
      <w:rPr>
        <w:noProof/>
        <w:lang w:val="es-PE" w:eastAsia="es-PE"/>
      </w:rPr>
      <w:drawing>
        <wp:anchor distT="0" distB="0" distL="114300" distR="114300" simplePos="0" relativeHeight="251659264" behindDoc="0" locked="0" layoutInCell="1" allowOverlap="1" wp14:anchorId="0104F33B" wp14:editId="35F3C59F">
          <wp:simplePos x="0" y="0"/>
          <wp:positionH relativeFrom="column">
            <wp:posOffset>4105910</wp:posOffset>
          </wp:positionH>
          <wp:positionV relativeFrom="paragraph">
            <wp:posOffset>-107950</wp:posOffset>
          </wp:positionV>
          <wp:extent cx="2037080" cy="631825"/>
          <wp:effectExtent l="0" t="0" r="0" b="0"/>
          <wp:wrapNone/>
          <wp:docPr id="5" name="Imagen 5" descr="../../LOGOS/TRABAJANDO%20PARA%20Tod@s%20l@s%20Peruanos/logospng/LOGO%20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TRABAJANDO%20PARA%20Tod@s%20l@s%20Peruanos/logospng/LOGO%20FINAL-0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08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3E" w:rsidRDefault="005878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B0" w:rsidRDefault="005878B0">
      <w:r>
        <w:separator/>
      </w:r>
    </w:p>
  </w:footnote>
  <w:footnote w:type="continuationSeparator" w:id="0">
    <w:p w:rsidR="005878B0" w:rsidRDefault="0058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8F" w:rsidRPr="0067726A" w:rsidRDefault="00F833CD" w:rsidP="00815793">
    <w:pPr>
      <w:pStyle w:val="Encabezado"/>
      <w:rPr>
        <w:rFonts w:ascii="Calibri" w:hAnsi="Calibri"/>
        <w:sz w:val="16"/>
        <w:szCs w:val="27"/>
      </w:rPr>
    </w:pPr>
    <w:r>
      <w:rPr>
        <w:rFonts w:ascii="Calibri" w:hAnsi="Calibri"/>
        <w:noProof/>
        <w:sz w:val="27"/>
        <w:szCs w:val="27"/>
        <w:lang w:val="es-PE" w:eastAsia="es-PE"/>
      </w:rPr>
      <w:drawing>
        <wp:anchor distT="0" distB="0" distL="114300" distR="114300" simplePos="0" relativeHeight="251662336" behindDoc="1" locked="0" layoutInCell="1" allowOverlap="1" wp14:anchorId="5C7822BD" wp14:editId="07D9938A">
          <wp:simplePos x="0" y="0"/>
          <wp:positionH relativeFrom="column">
            <wp:posOffset>-568960</wp:posOffset>
          </wp:positionH>
          <wp:positionV relativeFrom="paragraph">
            <wp:posOffset>-151908</wp:posOffset>
          </wp:positionV>
          <wp:extent cx="2879725" cy="541655"/>
          <wp:effectExtent l="0" t="0" r="0" b="0"/>
          <wp:wrapNone/>
          <wp:docPr id="4" name="Imagen 4" descr="MINISTERIO%20DE%20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20DE%20AGRICUL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1312" behindDoc="0" locked="0" layoutInCell="1" allowOverlap="1" wp14:anchorId="40FDD7AB" wp14:editId="6547A059">
          <wp:simplePos x="0" y="0"/>
          <wp:positionH relativeFrom="column">
            <wp:posOffset>4296907</wp:posOffset>
          </wp:positionH>
          <wp:positionV relativeFrom="paragraph">
            <wp:posOffset>-31750</wp:posOffset>
          </wp:positionV>
          <wp:extent cx="1646060" cy="448724"/>
          <wp:effectExtent l="0" t="0" r="5080" b="8890"/>
          <wp:wrapNone/>
          <wp:docPr id="2" name="Imagen 2" descr="Logo%20se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ena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6060" cy="44872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67726A">
      <w:rPr>
        <w:sz w:val="14"/>
      </w:rPr>
      <w:tab/>
      <w:t xml:space="preserve">                </w:t>
    </w:r>
  </w:p>
  <w:p w:rsidR="00706BF0" w:rsidRDefault="00F833CD" w:rsidP="00005557">
    <w:pPr>
      <w:pStyle w:val="Ttulo"/>
      <w:rPr>
        <w:rFonts w:ascii="Calibri" w:hAnsi="Calibri"/>
        <w:b w:val="0"/>
        <w:color w:val="808080"/>
        <w:sz w:val="10"/>
        <w:szCs w:val="21"/>
        <w:lang w:val="es-PE"/>
      </w:rPr>
    </w:pPr>
    <w:r w:rsidRPr="0067726A">
      <w:rPr>
        <w:rFonts w:ascii="Calibri" w:hAnsi="Calibri"/>
        <w:b w:val="0"/>
        <w:color w:val="808080"/>
        <w:sz w:val="10"/>
        <w:szCs w:val="21"/>
        <w:lang w:val="es-PE"/>
      </w:rPr>
      <w:t xml:space="preserve"> </w:t>
    </w:r>
  </w:p>
  <w:p w:rsidR="00706BF0" w:rsidRDefault="00706BF0" w:rsidP="00005557">
    <w:pPr>
      <w:pStyle w:val="Ttulo"/>
      <w:rPr>
        <w:rFonts w:ascii="Calibri" w:hAnsi="Calibri"/>
        <w:b w:val="0"/>
        <w:color w:val="808080"/>
        <w:sz w:val="10"/>
        <w:szCs w:val="21"/>
        <w:lang w:val="es-PE"/>
      </w:rPr>
    </w:pPr>
  </w:p>
  <w:p w:rsidR="00706BF0" w:rsidRDefault="00706BF0" w:rsidP="00005557">
    <w:pPr>
      <w:pStyle w:val="Ttulo"/>
      <w:rPr>
        <w:rFonts w:ascii="Calibri" w:hAnsi="Calibri"/>
        <w:b w:val="0"/>
        <w:color w:val="808080"/>
        <w:sz w:val="10"/>
        <w:szCs w:val="21"/>
        <w:lang w:val="es-PE"/>
      </w:rPr>
    </w:pPr>
  </w:p>
  <w:p w:rsidR="00706BF0" w:rsidRDefault="00706BF0" w:rsidP="00005557">
    <w:pPr>
      <w:pStyle w:val="Ttulo"/>
      <w:rPr>
        <w:rFonts w:ascii="Calibri" w:hAnsi="Calibri"/>
        <w:b w:val="0"/>
        <w:color w:val="808080"/>
        <w:sz w:val="10"/>
        <w:szCs w:val="21"/>
        <w:lang w:val="es-PE"/>
      </w:rPr>
    </w:pPr>
  </w:p>
  <w:p w:rsidR="00706BF0" w:rsidRDefault="00706BF0" w:rsidP="00005557">
    <w:pPr>
      <w:pStyle w:val="Ttulo"/>
      <w:rPr>
        <w:rFonts w:ascii="Calibri" w:hAnsi="Calibri"/>
        <w:b w:val="0"/>
        <w:color w:val="808080"/>
        <w:sz w:val="10"/>
        <w:szCs w:val="21"/>
        <w:lang w:val="es-PE"/>
      </w:rPr>
    </w:pPr>
  </w:p>
  <w:p w:rsidR="00706BF0" w:rsidRDefault="00706BF0" w:rsidP="00005557">
    <w:pPr>
      <w:pStyle w:val="Ttulo"/>
      <w:rPr>
        <w:rFonts w:ascii="Calibri" w:hAnsi="Calibri"/>
        <w:b w:val="0"/>
        <w:color w:val="808080"/>
        <w:sz w:val="10"/>
        <w:szCs w:val="21"/>
        <w:lang w:val="es-PE"/>
      </w:rPr>
    </w:pPr>
  </w:p>
  <w:p w:rsidR="00D82CA6" w:rsidRDefault="00F833CD" w:rsidP="00005557">
    <w:pPr>
      <w:pStyle w:val="Ttulo"/>
      <w:rPr>
        <w:rFonts w:ascii="Calibri" w:hAnsi="Calibri"/>
        <w:b w:val="0"/>
        <w:color w:val="808080"/>
        <w:sz w:val="20"/>
        <w:szCs w:val="21"/>
        <w:lang w:val="es-PE"/>
      </w:rPr>
    </w:pPr>
    <w:r w:rsidRPr="00005557">
      <w:rPr>
        <w:rFonts w:ascii="Calibri" w:hAnsi="Calibri"/>
        <w:b w:val="0"/>
        <w:color w:val="808080"/>
        <w:sz w:val="20"/>
        <w:szCs w:val="21"/>
        <w:lang w:val="es-PE"/>
      </w:rPr>
      <w:t>“Año del Buen Servicio al Ciudadano”</w:t>
    </w:r>
  </w:p>
  <w:p w:rsidR="0067726A" w:rsidRPr="00005557" w:rsidRDefault="005878B0" w:rsidP="00005557">
    <w:pPr>
      <w:pStyle w:val="Ttulo"/>
      <w:rPr>
        <w:rFonts w:ascii="Calibri" w:hAnsi="Calibri"/>
        <w:b w:val="0"/>
        <w:color w:val="808080"/>
        <w:sz w:val="20"/>
        <w:szCs w:val="21"/>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364"/>
    <w:multiLevelType w:val="hybridMultilevel"/>
    <w:tmpl w:val="4C7239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AE"/>
    <w:rsid w:val="00065AAE"/>
    <w:rsid w:val="000C2CB5"/>
    <w:rsid w:val="000F4B0B"/>
    <w:rsid w:val="0028218C"/>
    <w:rsid w:val="00360298"/>
    <w:rsid w:val="003A11DC"/>
    <w:rsid w:val="005878B0"/>
    <w:rsid w:val="00706BF0"/>
    <w:rsid w:val="007C59A4"/>
    <w:rsid w:val="007D3229"/>
    <w:rsid w:val="00820B01"/>
    <w:rsid w:val="00AB3FA6"/>
    <w:rsid w:val="00BD0319"/>
    <w:rsid w:val="00BD45D2"/>
    <w:rsid w:val="00C34ECD"/>
    <w:rsid w:val="00C926EC"/>
    <w:rsid w:val="00CD19D5"/>
    <w:rsid w:val="00E57A2A"/>
    <w:rsid w:val="00F833CD"/>
    <w:rsid w:val="00F86E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AAE"/>
    <w:pPr>
      <w:tabs>
        <w:tab w:val="center" w:pos="4252"/>
        <w:tab w:val="right" w:pos="8504"/>
      </w:tabs>
    </w:pPr>
  </w:style>
  <w:style w:type="character" w:customStyle="1" w:styleId="EncabezadoCar">
    <w:name w:val="Encabezado Car"/>
    <w:basedOn w:val="Fuentedeprrafopredeter"/>
    <w:link w:val="Encabezado"/>
    <w:uiPriority w:val="99"/>
    <w:rsid w:val="00065AAE"/>
    <w:rPr>
      <w:rFonts w:eastAsiaTheme="minorEastAsia"/>
      <w:sz w:val="24"/>
      <w:szCs w:val="24"/>
      <w:lang w:val="es-ES_tradnl" w:eastAsia="es-ES"/>
    </w:rPr>
  </w:style>
  <w:style w:type="paragraph" w:styleId="Piedepgina">
    <w:name w:val="footer"/>
    <w:basedOn w:val="Normal"/>
    <w:link w:val="PiedepginaCar"/>
    <w:uiPriority w:val="99"/>
    <w:unhideWhenUsed/>
    <w:rsid w:val="00065AAE"/>
    <w:pPr>
      <w:tabs>
        <w:tab w:val="center" w:pos="4252"/>
        <w:tab w:val="right" w:pos="8504"/>
      </w:tabs>
    </w:pPr>
  </w:style>
  <w:style w:type="character" w:customStyle="1" w:styleId="PiedepginaCar">
    <w:name w:val="Pie de página Car"/>
    <w:basedOn w:val="Fuentedeprrafopredeter"/>
    <w:link w:val="Piedepgina"/>
    <w:uiPriority w:val="99"/>
    <w:rsid w:val="00065AAE"/>
    <w:rPr>
      <w:rFonts w:eastAsiaTheme="minorEastAsia"/>
      <w:sz w:val="24"/>
      <w:szCs w:val="24"/>
      <w:lang w:val="es-ES_tradnl" w:eastAsia="es-ES"/>
    </w:rPr>
  </w:style>
  <w:style w:type="character" w:styleId="Hipervnculo">
    <w:name w:val="Hyperlink"/>
    <w:basedOn w:val="Fuentedeprrafopredeter"/>
    <w:uiPriority w:val="99"/>
    <w:unhideWhenUsed/>
    <w:rsid w:val="00065AAE"/>
    <w:rPr>
      <w:color w:val="0563C1" w:themeColor="hyperlink"/>
      <w:u w:val="single"/>
    </w:rPr>
  </w:style>
  <w:style w:type="paragraph" w:styleId="Ttulo">
    <w:name w:val="Title"/>
    <w:basedOn w:val="Normal"/>
    <w:link w:val="TtuloCar"/>
    <w:qFormat/>
    <w:rsid w:val="00065AAE"/>
    <w:pPr>
      <w:jc w:val="center"/>
    </w:pPr>
    <w:rPr>
      <w:rFonts w:ascii="Times New Roman" w:eastAsia="Times New Roman" w:hAnsi="Times New Roman" w:cs="Times New Roman"/>
      <w:b/>
      <w:szCs w:val="20"/>
      <w:lang w:val="es-ES"/>
    </w:rPr>
  </w:style>
  <w:style w:type="character" w:customStyle="1" w:styleId="TtuloCar">
    <w:name w:val="Título Car"/>
    <w:basedOn w:val="Fuentedeprrafopredeter"/>
    <w:link w:val="Ttulo"/>
    <w:rsid w:val="00065AAE"/>
    <w:rPr>
      <w:rFonts w:ascii="Times New Roman" w:eastAsia="Times New Roman" w:hAnsi="Times New Roman" w:cs="Times New Roman"/>
      <w:b/>
      <w:sz w:val="24"/>
      <w:szCs w:val="20"/>
      <w:lang w:val="es-ES" w:eastAsia="es-ES"/>
    </w:rPr>
  </w:style>
  <w:style w:type="paragraph" w:styleId="Prrafodelista">
    <w:name w:val="List Paragraph"/>
    <w:basedOn w:val="Normal"/>
    <w:uiPriority w:val="34"/>
    <w:qFormat/>
    <w:rsid w:val="00065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AAE"/>
    <w:pPr>
      <w:tabs>
        <w:tab w:val="center" w:pos="4252"/>
        <w:tab w:val="right" w:pos="8504"/>
      </w:tabs>
    </w:pPr>
  </w:style>
  <w:style w:type="character" w:customStyle="1" w:styleId="EncabezadoCar">
    <w:name w:val="Encabezado Car"/>
    <w:basedOn w:val="Fuentedeprrafopredeter"/>
    <w:link w:val="Encabezado"/>
    <w:uiPriority w:val="99"/>
    <w:rsid w:val="00065AAE"/>
    <w:rPr>
      <w:rFonts w:eastAsiaTheme="minorEastAsia"/>
      <w:sz w:val="24"/>
      <w:szCs w:val="24"/>
      <w:lang w:val="es-ES_tradnl" w:eastAsia="es-ES"/>
    </w:rPr>
  </w:style>
  <w:style w:type="paragraph" w:styleId="Piedepgina">
    <w:name w:val="footer"/>
    <w:basedOn w:val="Normal"/>
    <w:link w:val="PiedepginaCar"/>
    <w:uiPriority w:val="99"/>
    <w:unhideWhenUsed/>
    <w:rsid w:val="00065AAE"/>
    <w:pPr>
      <w:tabs>
        <w:tab w:val="center" w:pos="4252"/>
        <w:tab w:val="right" w:pos="8504"/>
      </w:tabs>
    </w:pPr>
  </w:style>
  <w:style w:type="character" w:customStyle="1" w:styleId="PiedepginaCar">
    <w:name w:val="Pie de página Car"/>
    <w:basedOn w:val="Fuentedeprrafopredeter"/>
    <w:link w:val="Piedepgina"/>
    <w:uiPriority w:val="99"/>
    <w:rsid w:val="00065AAE"/>
    <w:rPr>
      <w:rFonts w:eastAsiaTheme="minorEastAsia"/>
      <w:sz w:val="24"/>
      <w:szCs w:val="24"/>
      <w:lang w:val="es-ES_tradnl" w:eastAsia="es-ES"/>
    </w:rPr>
  </w:style>
  <w:style w:type="character" w:styleId="Hipervnculo">
    <w:name w:val="Hyperlink"/>
    <w:basedOn w:val="Fuentedeprrafopredeter"/>
    <w:uiPriority w:val="99"/>
    <w:unhideWhenUsed/>
    <w:rsid w:val="00065AAE"/>
    <w:rPr>
      <w:color w:val="0563C1" w:themeColor="hyperlink"/>
      <w:u w:val="single"/>
    </w:rPr>
  </w:style>
  <w:style w:type="paragraph" w:styleId="Ttulo">
    <w:name w:val="Title"/>
    <w:basedOn w:val="Normal"/>
    <w:link w:val="TtuloCar"/>
    <w:qFormat/>
    <w:rsid w:val="00065AAE"/>
    <w:pPr>
      <w:jc w:val="center"/>
    </w:pPr>
    <w:rPr>
      <w:rFonts w:ascii="Times New Roman" w:eastAsia="Times New Roman" w:hAnsi="Times New Roman" w:cs="Times New Roman"/>
      <w:b/>
      <w:szCs w:val="20"/>
      <w:lang w:val="es-ES"/>
    </w:rPr>
  </w:style>
  <w:style w:type="character" w:customStyle="1" w:styleId="TtuloCar">
    <w:name w:val="Título Car"/>
    <w:basedOn w:val="Fuentedeprrafopredeter"/>
    <w:link w:val="Ttulo"/>
    <w:rsid w:val="00065AAE"/>
    <w:rPr>
      <w:rFonts w:ascii="Times New Roman" w:eastAsia="Times New Roman" w:hAnsi="Times New Roman" w:cs="Times New Roman"/>
      <w:b/>
      <w:sz w:val="24"/>
      <w:szCs w:val="20"/>
      <w:lang w:val="es-ES" w:eastAsia="es-ES"/>
    </w:rPr>
  </w:style>
  <w:style w:type="paragraph" w:styleId="Prrafodelista">
    <w:name w:val="List Paragraph"/>
    <w:basedOn w:val="Normal"/>
    <w:uiPriority w:val="34"/>
    <w:qFormat/>
    <w:rsid w:val="00065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macostav@senasa.gob.pe" TargetMode="External"/><Relationship Id="rId1" Type="http://schemas.openxmlformats.org/officeDocument/2006/relationships/hyperlink" Target="mailto:macostav@senasa.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Rocio Acosta Villa</dc:creator>
  <cp:lastModifiedBy>PERULATION2</cp:lastModifiedBy>
  <cp:revision>2</cp:revision>
  <dcterms:created xsi:type="dcterms:W3CDTF">2017-06-27T21:07:00Z</dcterms:created>
  <dcterms:modified xsi:type="dcterms:W3CDTF">2017-06-27T21:07:00Z</dcterms:modified>
</cp:coreProperties>
</file>